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strike/>
          <w:color w:val="FF0000"/>
          <w:sz w:val="24"/>
          <w:szCs w:val="24"/>
        </w:rPr>
      </w:pPr>
      <w:r>
        <w:rPr>
          <w:rFonts w:cs="Times New Roman" w:ascii="Times New Roman" w:hAnsi="Times New Roman"/>
          <w:b/>
          <w:sz w:val="24"/>
          <w:szCs w:val="24"/>
        </w:rPr>
        <w:t>ANEXA 38</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CONDIŢIILE ACORDĂRII PACHETULUI DE BAZĂ PENTRU DISPOZITIVE MEDICALE, TEHNOLOGII ŞI DISPOZITIVE ASISTIVE  DESTINATE RECUPERĂRII UNOR DEFICIENŢE ORGANICE SAU FUNCŢIONALE ÎN AMBULATORIU</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A. PACHET DE BAZĂ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1. Dispozitive de protezare în domeniul O.R.L.</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961" w:type="dxa"/>
        <w:jc w:val="left"/>
        <w:tblInd w:w="-72" w:type="dxa"/>
        <w:tblCellMar>
          <w:top w:w="0" w:type="dxa"/>
          <w:left w:w="108" w:type="dxa"/>
          <w:bottom w:w="0" w:type="dxa"/>
          <w:right w:w="108" w:type="dxa"/>
        </w:tblCellMar>
        <w:tblLook w:firstRow="1" w:noVBand="1" w:lastRow="0" w:firstColumn="1" w:lastColumn="0" w:noHBand="0" w:val="04a0"/>
      </w:tblPr>
      <w:tblGrid>
        <w:gridCol w:w="743"/>
        <w:gridCol w:w="2586"/>
        <w:gridCol w:w="4396"/>
        <w:gridCol w:w="2235"/>
      </w:tblGrid>
      <w:tr>
        <w:trPr/>
        <w:tc>
          <w:tcPr>
            <w:tcW w:w="743"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25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439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743"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5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439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743"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5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Proteză auditivă</w:t>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 ani</w:t>
            </w:r>
          </w:p>
        </w:tc>
      </w:tr>
      <w:tr>
        <w:trPr/>
        <w:tc>
          <w:tcPr>
            <w:tcW w:w="743"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58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Proteză fonatorie</w:t>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Vibrator laringian</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 ani</w:t>
            </w:r>
          </w:p>
        </w:tc>
      </w:tr>
      <w:tr>
        <w:trPr/>
        <w:tc>
          <w:tcPr>
            <w:tcW w:w="743"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86"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Buton fonator (shunt - ventile)    </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2/an</w:t>
            </w:r>
          </w:p>
        </w:tc>
      </w:tr>
      <w:tr>
        <w:trPr/>
        <w:tc>
          <w:tcPr>
            <w:tcW w:w="743"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58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Proteză traheală</w:t>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Canulă traheală simplă</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4/an</w:t>
            </w:r>
          </w:p>
        </w:tc>
      </w:tr>
      <w:tr>
        <w:trPr/>
        <w:tc>
          <w:tcPr>
            <w:tcW w:w="743"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86"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Canulă traheală Montgomery</w:t>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2/an</w:t>
            </w:r>
          </w:p>
        </w:tc>
      </w:tr>
      <w:tr>
        <w:trPr/>
        <w:tc>
          <w:tcPr>
            <w:tcW w:w="74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5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Filtru umidificator HME</w:t>
            </w:r>
          </w:p>
        </w:tc>
        <w:tc>
          <w:tcPr>
            <w:tcW w:w="439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set/lună</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buc.)</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 Pentru copiii în vârstă de până la 18 ani se pot acorda 2 proteze auditive dacă medicii de specialitate recomandă protezare bilaterală.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Pentru copiii în vârstă de până la 18 ani, se poate acorda o altă proteză auditivă înainte de termenul de înlocuire, prevăzut în col. C4, la recomandarea medicului de specialitate, ca urmare a modificării datelor avute în vedere la ultima protezare.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2. Dispozitive pentru protezare stomii</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10057" w:type="dxa"/>
        <w:jc w:val="left"/>
        <w:tblInd w:w="109" w:type="dxa"/>
        <w:tblCellMar>
          <w:top w:w="0" w:type="dxa"/>
          <w:left w:w="108" w:type="dxa"/>
          <w:bottom w:w="0" w:type="dxa"/>
          <w:right w:w="108" w:type="dxa"/>
        </w:tblCellMar>
        <w:tblLook w:firstRow="1" w:noVBand="1" w:lastRow="0" w:firstColumn="1" w:lastColumn="0" w:noHBand="0" w:val="04a0"/>
      </w:tblPr>
      <w:tblGrid>
        <w:gridCol w:w="850"/>
        <w:gridCol w:w="2119"/>
        <w:gridCol w:w="5529"/>
        <w:gridCol w:w="1558"/>
      </w:tblGrid>
      <w:tr>
        <w:trPr/>
        <w:tc>
          <w:tcPr>
            <w:tcW w:w="850"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NR. CRT.</w:t>
            </w:r>
          </w:p>
        </w:tc>
        <w:tc>
          <w:tcPr>
            <w:tcW w:w="2119"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DENUMIREA DISPOZITIVULUI MEDICAL</w:t>
            </w:r>
          </w:p>
        </w:tc>
        <w:tc>
          <w:tcPr>
            <w:tcW w:w="5529"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TIPUL</w:t>
            </w:r>
          </w:p>
        </w:tc>
        <w:tc>
          <w:tcPr>
            <w:tcW w:w="1558"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TERMEN DE ÎNLOCUIRE</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11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552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8"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11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Sistem stomic unitar </w:t>
            </w:r>
            <w:r>
              <w:rPr>
                <w:rFonts w:cs="Times New Roman" w:ascii="Times New Roman" w:hAnsi="Times New Roman"/>
                <w:color w:val="FF0000"/>
                <w:sz w:val="24"/>
                <w:szCs w:val="24"/>
              </w:rPr>
              <w:t>(</w:t>
            </w:r>
            <w:r>
              <w:rPr>
                <w:rFonts w:cs="Times New Roman" w:ascii="Times New Roman" w:hAnsi="Times New Roman"/>
                <w:sz w:val="24"/>
                <w:szCs w:val="24"/>
              </w:rPr>
              <w:t>sac stomic de unică utilizare)****)</w:t>
            </w:r>
          </w:p>
        </w:tc>
        <w:tc>
          <w:tcPr>
            <w:tcW w:w="552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a1) sac colector pentru colostomie/ileostomie fără evacuare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a2) sac colector pentru  colostomie/ileostomie cu evacuare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a3) sac colector special pentru colostomie/ileostomie  cu evacuare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a4) sac colector pentru  colostomie/ileostomie fără evacuare cu adeziv convex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a5) sac colector pentru  colostomie/ileostomie cu evacuare cu adeziv convex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a6) sac colector pentru  colostomie/ileostomie fără evacuare cu diametrul mai mare de 60 mm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a7) sac colector pentru colostomie/ileostomie cu evacuare cu diametrul mai mare de 60 mm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sac colector pentru   urostomie     </w:t>
            </w:r>
          </w:p>
        </w:tc>
        <w:tc>
          <w:tcPr>
            <w:tcW w:w="155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(35 bucăţi)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 bucăţi)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set/lună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 bucăţi)</w:t>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119" w:type="dxa"/>
            <w:vMerge w:val="restart"/>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B. Sistem stomic cu două componente</w:t>
            </w:r>
          </w:p>
        </w:tc>
        <w:tc>
          <w:tcPr>
            <w:tcW w:w="552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pentru colostomie/ ileostomie (flanşă - suport şi sac colector)</w:t>
            </w:r>
          </w:p>
        </w:tc>
        <w:tc>
          <w:tcPr>
            <w:tcW w:w="155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tc>
      </w:tr>
      <w:tr>
        <w:trPr/>
        <w:tc>
          <w:tcPr>
            <w:tcW w:w="850"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19"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52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pentru urostomie (flanşă - suport şi sac colector)</w:t>
            </w:r>
          </w:p>
        </w:tc>
        <w:tc>
          <w:tcPr>
            <w:tcW w:w="155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acordă pentru copiii cu vârsta până la 5 ani.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Se acordă pentru pacienţii care prezintă situaţii particulare sau complicaţii ale stomei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pPr>
        <w:pStyle w:val="Normal"/>
        <w:tabs>
          <w:tab w:val="clear" w:pos="708"/>
          <w:tab w:val="left" w:pos="184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  Se va prescrie doar unul dintre tipurile de dispozitive de la sistemele A sau B, pentru fiecare tip (colostomie/ileostomie, respectiv urostomie).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 Pentru asiguraţii cu urostomie cutanată dublă, la recomandarea medicilor de specialitate se pot acorda două seturi/lună de sisteme stomice pentru urostomie.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  Pentru asiguraţii cu colostomie/ileostomie dublă, la recomandarea medicilor de specialitate se pot acorda două seturi/lună de sisteme stomice pentru colostomie/ileostomie.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 Durata prescripţiei - pentru maximum 90/91/92 de zile, în funcţie de starea clinică şi evoluţia afecţiunii pentru pacienţii care nu au stome permanente şi de maximum 12 luni pentru pacienţii care au stome permanente.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3. Dispozitive pentru retenţie sau/şi incontinenţă urinară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511" w:type="dxa"/>
        <w:jc w:val="left"/>
        <w:tblInd w:w="378" w:type="dxa"/>
        <w:tblCellMar>
          <w:top w:w="0" w:type="dxa"/>
          <w:left w:w="108" w:type="dxa"/>
          <w:bottom w:w="0" w:type="dxa"/>
          <w:right w:w="108" w:type="dxa"/>
        </w:tblCellMar>
        <w:tblLook w:firstRow="1" w:noVBand="1" w:lastRow="0" w:firstColumn="1" w:lastColumn="0" w:noHBand="0" w:val="04a0"/>
      </w:tblPr>
      <w:tblGrid>
        <w:gridCol w:w="810"/>
        <w:gridCol w:w="4590"/>
        <w:gridCol w:w="1134"/>
        <w:gridCol w:w="2976"/>
      </w:tblGrid>
      <w:tr>
        <w:trPr/>
        <w:tc>
          <w:tcPr>
            <w:tcW w:w="81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459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297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459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297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45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Condom urinar</w:t>
            </w:r>
          </w:p>
        </w:tc>
        <w:tc>
          <w:tcPr>
            <w:tcW w:w="11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set*)/ lună (30 bucăţi) </w:t>
            </w:r>
          </w:p>
        </w:tc>
      </w:tr>
      <w:tr>
        <w:trPr/>
        <w:tc>
          <w:tcPr>
            <w:tcW w:w="81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45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Sac colector de urină***)</w:t>
            </w:r>
          </w:p>
        </w:tc>
        <w:tc>
          <w:tcPr>
            <w:tcW w:w="11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 (6 bucăţi</w:t>
            </w:r>
          </w:p>
        </w:tc>
      </w:tr>
      <w:tr>
        <w:trPr/>
        <w:tc>
          <w:tcPr>
            <w:tcW w:w="81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45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Sonda Foley</w:t>
            </w:r>
          </w:p>
        </w:tc>
        <w:tc>
          <w:tcPr>
            <w:tcW w:w="11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 (4 bucăţi)</w:t>
            </w:r>
          </w:p>
        </w:tc>
      </w:tr>
      <w:tr>
        <w:trPr/>
        <w:tc>
          <w:tcPr>
            <w:tcW w:w="81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45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Cateter urinar**)</w:t>
            </w:r>
          </w:p>
        </w:tc>
        <w:tc>
          <w:tcPr>
            <w:tcW w:w="11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set*)/ lună (120 bucăţi)</w:t>
            </w:r>
          </w:p>
        </w:tc>
      </w:tr>
      <w:tr>
        <w:trPr/>
        <w:tc>
          <w:tcPr>
            <w:tcW w:w="81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45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Banda pentru incontinenţă urinară****)</w:t>
            </w:r>
          </w:p>
        </w:tc>
        <w:tc>
          <w:tcPr>
            <w:tcW w:w="11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Pentru asiguraţii cu urostomie cutanată dublă şi nefrostomie bilaterală, la recomandarea medicilor de specialitate se pot acorda 2 seturi/lună de saci colectori de urină.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acordă o singură dată în viaţă.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4. Proteze pentru membrul inferior</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10348" w:type="dxa"/>
        <w:jc w:val="left"/>
        <w:tblInd w:w="-459" w:type="dxa"/>
        <w:tblCellMar>
          <w:top w:w="0" w:type="dxa"/>
          <w:left w:w="108" w:type="dxa"/>
          <w:bottom w:w="0" w:type="dxa"/>
          <w:right w:w="108" w:type="dxa"/>
        </w:tblCellMar>
        <w:tblLook w:firstRow="1" w:noVBand="1" w:lastRow="0" w:firstColumn="1" w:lastColumn="0" w:noHBand="0" w:val="04a0"/>
      </w:tblPr>
      <w:tblGrid>
        <w:gridCol w:w="850"/>
        <w:gridCol w:w="2552"/>
        <w:gridCol w:w="5386"/>
        <w:gridCol w:w="1559"/>
      </w:tblGrid>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255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53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55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53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552"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parţială de picior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LISEFRANC</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CHOPART</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PIROGOFF</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55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pentru dezarticulaţia de gleznă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SYME</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552"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de gambă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convenţională, din material plastic, cu contact total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geriatrică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modulară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 modulară cu manşon de silicon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4 ani   </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55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Proteză pentru dezarticulaţia de genunchi</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modulară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552"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de coapsă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combinată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din plastic</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cu vacuum</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 geriatrică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 modulară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 modulară cu vacuum</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 modulară cu manşon de silicon</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552"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de şold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convenţională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modulară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2552"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Proteză parţială de bazin hemipelvectomie  </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convenţională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2"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modulară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ani</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255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Manşon de silicon pentru proteza de coapsă modulară cu manşon de silicon</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r>
        <w:trPr/>
        <w:tc>
          <w:tcPr>
            <w:tcW w:w="850"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55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Manşon de silicon pentru proteza de gambă modulară cu manşon de silicon</w:t>
            </w:r>
          </w:p>
        </w:tc>
        <w:tc>
          <w:tcPr>
            <w:tcW w:w="53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ani</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 Termenul de înlocuire de 2, respectiv 4 ani se consideră de la momentul în care asiguratul a intrat în posesia protezei definitive, dacă acesta a beneficiat şi de proteză provizorie.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4.2. Pentru copiii în vârstă de până la 18 ani, se poate acorda o altă proteză înainte de termenul de înlocuire, prevăzut în col. C4, la recomandarea medicului de specialitate, ca urmare a modificării datelor avute în vedere la ultima protezare.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4.3. Pentru un asigurat se pot acorda două dispozitive medicale de acelaşi tip (stânga-dreapta); termenul de înlocuire pentru fiecare dispozitiv din cele două (stânga-dreapta) este cel prevăzut în coloana C4.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4.4. Proteza de coapsă modulară cu manşon de silicon, </w:t>
      </w:r>
      <w:r>
        <w:rPr>
          <w:rFonts w:cs="Times New Roman" w:ascii="Times New Roman" w:hAnsi="Times New Roman"/>
          <w:strike/>
          <w:sz w:val="24"/>
          <w:szCs w:val="24"/>
        </w:rPr>
        <w:t xml:space="preserve">şi </w:t>
      </w:r>
      <w:r>
        <w:rPr>
          <w:rFonts w:cs="Times New Roman" w:ascii="Times New Roman" w:hAnsi="Times New Roman"/>
          <w:sz w:val="24"/>
          <w:szCs w:val="24"/>
        </w:rPr>
        <w:t>proteza de gambă modulară cu manşon de silicon, manşonul de silicon pentru proteza de coapsă modulară cu manşon de silicon şi manşonul de silicon pentru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5. Proteze pentru membrul superior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3827"/>
        <w:gridCol w:w="3828"/>
        <w:gridCol w:w="1417"/>
      </w:tblGrid>
      <w:tr>
        <w:trPr/>
        <w:tc>
          <w:tcPr>
            <w:tcW w:w="81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NR. CRT.</w:t>
            </w:r>
          </w:p>
        </w:tc>
        <w:tc>
          <w:tcPr>
            <w:tcW w:w="3827"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DENUMIREA DISPOZITIVULUI MEDICAL</w:t>
            </w:r>
          </w:p>
        </w:tc>
        <w:tc>
          <w:tcPr>
            <w:tcW w:w="3828"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TIPUL</w:t>
            </w:r>
          </w:p>
        </w:tc>
        <w:tc>
          <w:tcPr>
            <w:tcW w:w="1417"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TERMEN DE ÎNLOCUIRE</w:t>
            </w:r>
          </w:p>
        </w:tc>
      </w:tr>
      <w:tr>
        <w:trPr/>
        <w:tc>
          <w:tcPr>
            <w:tcW w:w="81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C1</w:t>
            </w:r>
          </w:p>
        </w:tc>
        <w:tc>
          <w:tcPr>
            <w:tcW w:w="3827"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C2</w:t>
            </w:r>
          </w:p>
        </w:tc>
        <w:tc>
          <w:tcPr>
            <w:tcW w:w="3828"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C3</w:t>
            </w:r>
          </w:p>
        </w:tc>
        <w:tc>
          <w:tcPr>
            <w:tcW w:w="1417"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C4</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Proteză parţială de mână </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a) funcţională simplă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c) de deget funcţională simplă*)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Proteză de dezarticulaţie de încheietură a mâinii  </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a) funcţională simplă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c) funcţională acţionată prin cablu</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d) funcţională acţionată mioelectric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Proteză de antebraţ         </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a) funcţională simplă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c) funcţională acţionată prin cablu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d) funcţională acţionată mioelectric cu pro-supinaţie pasivă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d) funcţională acţionată mioelectric cu pro-supinaţie activă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Proteză de dezarticulaţie de cot</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a) funcţională simplă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c) funcţională acţionată prin cablu</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d) funcţională atipic electric</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e) funcţională mioelectrică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Proteză de braţ           </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a) funcţională simplă</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2 ani</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c) funcţională acţionată prin cablu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d) funcţională atipic electric</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e) funcţională mioelectrică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Proteză de dezarticulaţie de umăr</w:t>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a) funcţională simplă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c) funcţională acţionată prin cablu</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d) funcţională atipic electric</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e) funcţională mioelectrică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r>
        <w:trPr/>
        <w:tc>
          <w:tcPr>
            <w:tcW w:w="816"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3827" w:type="dxa"/>
            <w:vMerge w:val="restart"/>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Proteză pentru amputaţie  inter-scapulo-toracică       </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a) funcţională simplă</w:t>
            </w:r>
            <w:r>
              <w:rPr>
                <w:rFonts w:cs="Times New Roman" w:ascii="Times New Roman" w:hAnsi="Times New Roman"/>
                <w:strike/>
              </w:rPr>
              <w:t xml:space="preserve">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b) funcţională acţionată pasiv</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c) funcţională acţionată prin cablu                                     </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2 ani      </w:t>
            </w:r>
          </w:p>
        </w:tc>
      </w:tr>
      <w:tr>
        <w:trPr/>
        <w:tc>
          <w:tcPr>
            <w:tcW w:w="816"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7" w:type="dxa"/>
            <w:vMerge w:val="continue"/>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828" w:type="dxa"/>
            <w:tcBorders/>
          </w:tcPr>
          <w:p>
            <w:pPr>
              <w:pStyle w:val="Normal"/>
              <w:spacing w:lineRule="auto" w:line="240" w:before="0" w:after="0"/>
              <w:rPr>
                <w:rFonts w:ascii="Times New Roman" w:hAnsi="Times New Roman" w:cs="Times New Roman"/>
              </w:rPr>
            </w:pPr>
            <w:r>
              <w:rPr>
                <w:rFonts w:cs="Times New Roman" w:ascii="Times New Roman" w:hAnsi="Times New Roman"/>
              </w:rPr>
              <w:t>d) funcţională atipic electric</w:t>
            </w:r>
          </w:p>
        </w:tc>
        <w:tc>
          <w:tcPr>
            <w:tcW w:w="1417"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8 ani      </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acordă pentru copii cu vârsta cuprinsă între 3 - 18 ani cu malformaţii congenitale.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 Pentru copiii în vârstă de până la 18 ani, se poate acorda o altă proteză înainte de termenul de înlocuire, prevăzut în col. C4, la recomandarea medicului de specialitate, ca urmare a modificării datelor avute în vedere la ultima protezare.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5.2. Pentru un asigurat se pot acorda două dispozitive medicale de acelaşi tip (stânga-dreapta); termenul de înlocuire pentru fiecare dispozitiv din cele două (stânga-dreapta) este cel prevăzut în coloana C4.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6. Orteze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6.1 pentru coloana vertebrală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3827"/>
        <w:gridCol w:w="3686"/>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382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382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cervicale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colar</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Philadelphia/Minerva</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 Schanz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cervicotoracice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toracice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Orteze toracolombosacrale</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orteză toracolombosacrală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corset Cheneau</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corset Boston</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 corset Euroboston</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 corset Hessing</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 corset de hiperextensie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 corset Lyonnais</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 corset de hiperextensie în trei puncte pentru scolioză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lombosacrale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orteză lombosacrală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rHeight w:val="212" w:hRule="atLeast"/>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lombostat</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sacro-iliace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Orteze cervicotoraco-lombosacrale</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corset Stagnara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corset Milwaukee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Pentru copiii în vârstă de până la 18 ani, se poate acorda o altă orteză înainte de termenul de înlocuire, prevăzut în col. C4, la recomandarea medicului de specialitate, ca urmare a modificării datelor avute în vedere la ultima ortezare.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6.2. pentru membrul superior</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3827"/>
        <w:gridCol w:w="3686"/>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382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382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deget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mână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cu mobilitatea/fixarea degetului mare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dinamică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încheietura mâinii - mână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fixă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dinamică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încheietura mâinii - mână - deget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fixă/mobilă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cot  </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cu atelă/fără atelă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cot - încheietura mâinii - mână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umăr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382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umăr - cot  </w:t>
            </w:r>
          </w:p>
        </w:tc>
        <w:tc>
          <w:tcPr>
            <w:tcW w:w="368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3827"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Orteze de umăr - cot - încheietura mâinii - mână</w:t>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fixă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27"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dinamică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6.2.1. Pentru copiii în vârstă de până la 18 ani, se poate acorda o altă orteză înainte de termenul de înlocuire, prevăzut în col. C4, la recomandarea medicului de specialitate, ca urmare a modificării datelor avute în vedere la ultima ortezare.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6.2.2. Pentru un asigurat se pot acorda două dispozitive medicale de acelaşi tip (stânga-dreapta); termenul de înlocuire pentru fiecare dispozitiv din cele două (stânga-dreapta) este cel prevăzut în col. C4.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6.3. pentru membrul inferior</w:t>
      </w:r>
    </w:p>
    <w:p>
      <w:pPr>
        <w:pStyle w:val="Normal"/>
        <w:spacing w:lineRule="auto" w:line="240" w:before="0" w:after="0"/>
        <w:rPr>
          <w:rFonts w:ascii="Courier New" w:hAnsi="Courier New" w:cs="Courier New"/>
          <w:sz w:val="18"/>
          <w:szCs w:val="18"/>
        </w:rPr>
      </w:pPr>
      <w:r>
        <w:rPr>
          <w:rFonts w:cs="Courier New" w:ascii="Courier New" w:hAnsi="Courier New"/>
          <w:sz w:val="18"/>
          <w:szCs w:val="18"/>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4536"/>
        <w:gridCol w:w="3402"/>
        <w:gridCol w:w="1134"/>
      </w:tblGrid>
      <w:tr>
        <w:trPr/>
        <w:tc>
          <w:tcPr>
            <w:tcW w:w="81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NR. CRT.</w:t>
            </w:r>
          </w:p>
        </w:tc>
        <w:tc>
          <w:tcPr>
            <w:tcW w:w="453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DENUMIREA DISPOZITIVULUI MEDICAL</w:t>
            </w:r>
          </w:p>
        </w:tc>
        <w:tc>
          <w:tcPr>
            <w:tcW w:w="3402"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TIPUL</w:t>
            </w:r>
          </w:p>
        </w:tc>
        <w:tc>
          <w:tcPr>
            <w:tcW w:w="1134"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45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34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5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picior </w:t>
            </w:r>
          </w:p>
        </w:tc>
        <w:tc>
          <w:tcPr>
            <w:tcW w:w="34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45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pentru gleznă - picior              </w:t>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fixă/mobilă</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luni    </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45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genunchi        </w:t>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fixă     </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mobilă</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Balant</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45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Orteze de genunchi gleznă - picior</w:t>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orteză de genunchi - gleznă- picior</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pentru scurtarea membrului pelvin </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45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şold   </w:t>
            </w:r>
          </w:p>
        </w:tc>
        <w:tc>
          <w:tcPr>
            <w:tcW w:w="34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45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şold - genunchi    </w:t>
            </w:r>
          </w:p>
        </w:tc>
        <w:tc>
          <w:tcPr>
            <w:tcW w:w="34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45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de şold – genunchi - gleznă - picior  </w:t>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orteză de şold - genunchi - gleznă - picior</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coxalgieră (aparat)</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Hessing (aparat)</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2 ani      </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45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Orteze pentru luxaţii de şold congenitale la copii</w:t>
            </w:r>
          </w:p>
        </w:tc>
        <w:tc>
          <w:tcPr>
            <w:tcW w:w="3402"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53" w:hRule="atLeast"/>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a) ham Pavlik</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b) de abducţie</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c) Dr. Fettwies</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d) Dr. Behrens</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e) Becker</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t>f) Dr. Bernau</w:t>
            </w:r>
          </w:p>
        </w:tc>
        <w:tc>
          <w:tcPr>
            <w:tcW w:w="1134" w:type="dxa"/>
            <w:tcBorders/>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45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Orteze corectoare de statică a piciorului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susţinători plantari cu nr. până la 23 inclusiv</w:t>
            </w:r>
          </w:p>
        </w:tc>
        <w:tc>
          <w:tcPr>
            <w:tcW w:w="1134" w:type="dxa"/>
            <w:tcBorders/>
          </w:tcPr>
          <w:p>
            <w:pPr>
              <w:pStyle w:val="Normal"/>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 xml:space="preserve">6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susţinători plantari cu nr. mai mare de 23,5</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6 luni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Pes Var/Valg</w:t>
            </w:r>
          </w:p>
        </w:tc>
        <w:tc>
          <w:tcPr>
            <w:tcW w:w="11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luni</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6.3.1. Pentru ortezele corectoare de statică a piciorului, tipurile a), b) şi c) se prescriu numai perechi.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6.3.2. Pentru copiii în vârstă de până la 18 ani, se poate acorda o altă orteză înainte de termenul de înlocuire, prevăzut în col. C4, la recomandarea medicului de specialitate, ca urmare a modificării datelor avute în vedere la ultima ortezare.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6.3.3. Orteze pentru luxaţii de şold congenitale la copii (*) se pot acorda, ori de câte ori este nevoie, la recomandarea medicului de specialitate, ca urmare a modificării datelor avute în vedere la ultima ortezare.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6.3.4. Pentru un asigurat se pot acorda două dispozitive medicale de acelaşi tip (stânga-dreapta), cu excepţia celor prevăzute la pct. 6.3.1; termenul de înlocuire pentru fiecare dispozitiv din cele două (stânga-dreapta) este cel prevăzut în col. C4.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7. Încălţăminte ortopedică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2269"/>
        <w:gridCol w:w="5245"/>
        <w:gridCol w:w="1558"/>
      </w:tblGrid>
      <w:tr>
        <w:trPr/>
        <w:tc>
          <w:tcPr>
            <w:tcW w:w="81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NR. CRT.</w:t>
            </w:r>
          </w:p>
        </w:tc>
        <w:tc>
          <w:tcPr>
            <w:tcW w:w="2269"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DENUMIREA DISPOZITIVULUI MEDICAL</w:t>
            </w:r>
          </w:p>
        </w:tc>
        <w:tc>
          <w:tcPr>
            <w:tcW w:w="5245"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TIPUL</w:t>
            </w:r>
          </w:p>
        </w:tc>
        <w:tc>
          <w:tcPr>
            <w:tcW w:w="1558"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26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524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8"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vMerge w:val="restart"/>
            <w:tcBorders/>
          </w:tcPr>
          <w:p>
            <w:pPr>
              <w:pStyle w:val="ListParagraph"/>
              <w:numPr>
                <w:ilvl w:val="0"/>
                <w:numId w:val="1"/>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Ghete</w:t>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diformităţi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diformităţi cu numere mai mari de 23,5</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 cu arc cu numere până la 23  inclusiv</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 cu arc cu numere mai mari de 23,5</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 amputaţii de metatars şi falange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 amputaţii de metatars şi falange cu numere mai mari de 23,5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 scurtări până la 10 cm,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 scurtări până la 10 cm, cu numere mai mari de 23,5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 scurtări peste 10 cm,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 scurtări peste 10 cm, cu numere mai mari de 23,5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rHeight w:val="322" w:hRule="atLeast"/>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269"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Pantofi</w:t>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diformităţi cu numere până la 23 inclusiv</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diformităţi cu numere mai mari de 23,5 </w:t>
            </w:r>
          </w:p>
        </w:tc>
        <w:tc>
          <w:tcPr>
            <w:tcW w:w="1558"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 amputaţii de metatars şi falange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 amputaţii de metatars şi falange cu numere mai mari de 23,5</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 scurtări până la 8 cm,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 scurtări până la 8 cm, cu numere mai mari de 23,5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 scurtări peste 8 cm, cu numere până la 23 inclusiv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r>
        <w:trPr>
          <w:trHeight w:val="374" w:hRule="atLeast"/>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69"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24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 scurtări peste 8 cm, cu numere mai mari de 23,5 </w:t>
            </w:r>
          </w:p>
        </w:tc>
        <w:tc>
          <w:tcPr>
            <w:tcW w:w="1558" w:type="dxa"/>
            <w:tcBorders/>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 luni</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7.1. Pentru copiii în vârstă de până la 18 ani, se poate acorda o altă pereche de încălţăminte înainte de termenul de înlocuire prevăzut în col. C4, la recomandarea medicului de specialitate ca urmare a modificării datelor avute în vedere la acordarea ultimei perechi.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7.2. Se prescrie o pereche de ghete sau o pereche de pantofi.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7.3. Numerele utilizate sunt exprimate în sistemul metric.</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8. Dispozitive pentru deficienţe vizuale</w:t>
      </w:r>
    </w:p>
    <w:p>
      <w:pPr>
        <w:pStyle w:val="Normal"/>
        <w:spacing w:lineRule="auto" w:line="240" w:before="0" w:after="0"/>
        <w:rPr>
          <w:rFonts w:ascii="Courier New" w:hAnsi="Courier New" w:cs="Courier New"/>
        </w:rPr>
      </w:pPr>
      <w:r>
        <w:rPr>
          <w:rFonts w:cs="Courier New" w:ascii="Courier New" w:hAnsi="Courier New"/>
        </w:rPr>
        <w:t xml:space="preserve"> </w:t>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2836"/>
        <w:gridCol w:w="4677"/>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28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467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8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467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8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Lentile intraoculare*)</w:t>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ptr. camera anterioară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ptr. camera posterioară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poate acorda o lentilă intraoculară pentru celălalt ochi după cel puţin 6 luni.</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b/>
          <w:bCs/>
          <w:sz w:val="24"/>
          <w:szCs w:val="24"/>
        </w:rPr>
        <w:t>9. Echipamente pentru oxigenoterapie şi ventilaţie noninvazivă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4254"/>
        <w:gridCol w:w="3259"/>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425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r>
              <w:rPr>
                <w:rFonts w:cs="Times New Roman" w:ascii="Times New Roman" w:hAnsi="Times New Roman"/>
                <w:b/>
                <w:sz w:val="24"/>
                <w:szCs w:val="24"/>
              </w:rPr>
              <w:t>*)</w:t>
            </w:r>
          </w:p>
        </w:tc>
        <w:tc>
          <w:tcPr>
            <w:tcW w:w="32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425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32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25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Aparat pentru administrarea continuă cu oxigen**)</w:t>
            </w:r>
          </w:p>
        </w:tc>
        <w:tc>
          <w:tcPr>
            <w:tcW w:w="32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concentrator de oxigen</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425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Aparat de ventilaţie noninvazivă***)</w:t>
            </w:r>
          </w:p>
        </w:tc>
        <w:tc>
          <w:tcPr>
            <w:tcW w:w="32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aparat de ventilaţie</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Aparatele se acordă numai prin închiriere.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Cs/>
          <w:sz w:val="24"/>
          <w:szCs w:val="24"/>
        </w:rPr>
        <w:t>**) Aparatele de administrare continuă cu oxigen se acordă pentru următoarele afecţiuni: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Oxigenoterapie de lungă durată - durata administrării cotidiene este &gt;/= 15 ore/zi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Indicaţii: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pacienţi cu insuficienţă respiratorie cronică, cu hipoxie severă/gravă în repaos pentru:</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bCs/>
          <w:sz w:val="24"/>
          <w:szCs w:val="24"/>
        </w:rPr>
        <w:t>a.1 BPOC:</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a.1.1. – la inițierea terapiei (prima prescriere) pentru valori ale raportului VEMS/CVF la efectuarea spirometriei, mai mici de 70% - asociat cu una dintre următoarele condiţii: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PaO2 &lt; 55 mmHG (sau SatO2 ≤ 88%), măsurată la distanţă de un episod acut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PaO2 55 - 59 mmHG (sau SatO2 &lt; 90%) măsurată la distanţă de un episod acut şi unul din semnele clinice de cord pulmonar cronic, semne clinice de hipertensiune pulmonară, poliglobulie (Ht &gt; 55%)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a.1.2. - la continuarea terapiei (următoarele prescripții) – </w:t>
      </w:r>
      <w:r>
        <w:rPr>
          <w:rFonts w:cs="Times New Roman" w:ascii="Times New Roman" w:hAnsi="Times New Roman"/>
          <w:bCs/>
          <w:sz w:val="24"/>
          <w:szCs w:val="24"/>
        </w:rPr>
        <w:t>cu una dintre următoarele condiţii:</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PaO2 &lt; 55 mmHG (sau SatO2 ≤ 88%), măsurată la distanţă de un episod acut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PaO2 55 - 59 mmHG (sau SatO2 &lt; 90%) măsurată la distanţă de un episod acut şi unul din semnele clinice de cord pulmonar cronic, semne clinice de hipertensiune pulmonară, poliglobulie (Ht &gt; 55%).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Medici curanţi care fac recomandarea: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pneumologie care sunt în contract cu casele de asigurări de sănătate pentru furnizarea de servicii medicale</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a.2 alte afecţiuni cu insuficienţă respiratorie cronică obstructivă sau restrictivă: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Cs/>
          <w:sz w:val="24"/>
          <w:szCs w:val="24"/>
        </w:rPr>
        <w:t>a.2.1.</w:t>
      </w:r>
      <w:r>
        <w:rPr>
          <w:rFonts w:cs="Times New Roman" w:ascii="Times New Roman" w:hAnsi="Times New Roman"/>
          <w:sz w:val="24"/>
          <w:szCs w:val="24"/>
        </w:rPr>
        <w:t xml:space="preserve"> - pentru sindromul obstructiv  </w:t>
      </w:r>
      <w:r>
        <w:rPr>
          <w:rFonts w:cs="Times New Roman" w:ascii="Times New Roman" w:hAnsi="Times New Roman"/>
          <w:bCs/>
          <w:sz w:val="24"/>
          <w:szCs w:val="24"/>
        </w:rPr>
        <w:t xml:space="preserve">la inițierea terapiei (prima prescriere) definit prin spirometrie și </w:t>
      </w:r>
      <w:r>
        <w:rPr>
          <w:rFonts w:cs="Times New Roman" w:ascii="Times New Roman" w:hAnsi="Times New Roman"/>
          <w:sz w:val="24"/>
          <w:szCs w:val="24"/>
        </w:rPr>
        <w:t>PaO2 &lt; 60 mm HG (sau Sat O2 &lt; 90%). La continuarea terapiei (următoarele prescripții) să îndeplinească PaO2&lt; 60 mm HG (sau Sat O2 &lt; 90%).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a.2.2. - pentru sindromul restrictiv,</w:t>
      </w:r>
      <w:r>
        <w:rPr>
          <w:rFonts w:cs="Times New Roman" w:ascii="Times New Roman" w:hAnsi="Times New Roman"/>
          <w:bCs/>
          <w:sz w:val="24"/>
          <w:szCs w:val="24"/>
        </w:rPr>
        <w:t xml:space="preserve"> la inițierea terapiei (prima prescriere) definit prin</w:t>
      </w:r>
      <w:r>
        <w:rPr>
          <w:rFonts w:cs="Times New Roman" w:ascii="Times New Roman" w:hAnsi="Times New Roman"/>
          <w:sz w:val="24"/>
          <w:szCs w:val="24"/>
        </w:rPr>
        <w:t xml:space="preserve"> capacitate pulmonară totală ≤ 60% din valoarea prezisă sau factorul de transfer gazos prin membrana alveolo-capilară (Dlco &lt; 40% din valoarea prezisă şi PaO2 &lt; 60 mm HG (sau Sat O2 &lt; 90%) în repaus sau la efort. La continuarea terapiei (următoarele prescripții) să îndeplinească condițiile PaO2&lt; 60 mm HG (sau Sat O2 &lt; 90%), în repaus sau la efort.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Medici curanţi care fac recomandarea: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pneumologie, pneumologie pediatrică, cardiologie, oncologie şi pediatrie, care sunt în contract cu casele de asigurări de sănătate pentru furnizarea de servicii medicale.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a.3. </w:t>
      </w:r>
      <w:r>
        <w:rPr>
          <w:rFonts w:cs="Times New Roman" w:ascii="Times New Roman" w:hAnsi="Times New Roman"/>
          <w:b/>
          <w:sz w:val="24"/>
          <w:szCs w:val="24"/>
        </w:rPr>
        <w:t>Sindromul de apnee</w:t>
      </w:r>
      <w:r>
        <w:rPr>
          <w:rFonts w:cs="Times New Roman" w:ascii="Times New Roman" w:hAnsi="Times New Roman"/>
          <w:sz w:val="24"/>
          <w:szCs w:val="24"/>
        </w:rPr>
        <w:t xml:space="preserve"> în somn obstructiv, sindromul de obezitate – hipoventilație, sindromul de apnee în somn central și mixt: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Oxigenoterapie nocturnă minim 6 ore/noapte, cu una dintre următoarele condiții:</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pentru SatO2&lt; 90% cu durată &gt; 30% din durata înregistrării poligrafie/polisomnografice nocturne;</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sz w:val="24"/>
          <w:szCs w:val="24"/>
        </w:rPr>
        <w:t>- pentru SatO2&lt; 88% cu durată &gt; 5 minute în timpul titrării poligrafice/polisomnografice;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Medici curanţi care fac recomandarea: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pneumologie şi alte specialităţi 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 pacienţi cu insuficienţă respiratorie medie sau severă a infecţiei SARS-CoV-2 la externarea din spital sau care au trecut printr-un sistem de triaj specific infecţiei SARS-CoV-2 sau pacienţi cu boli infecto-contagioase cu risc pandemic care dezvoltă insuficienţă respiratorie, </w:t>
      </w:r>
      <w:r>
        <w:rPr>
          <w:rFonts w:cs="Times New Roman" w:ascii="Times New Roman" w:hAnsi="Times New Roman"/>
          <w:bCs/>
          <w:sz w:val="24"/>
          <w:szCs w:val="24"/>
        </w:rPr>
        <w:t>cu următoarele condiţii:</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Sat O2 &lt; 90% măsurată prin pulsoximetrie</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şi/sau</w:t>
      </w:r>
    </w:p>
    <w:p>
      <w:pPr>
        <w:pStyle w:val="Normal"/>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PaO2 &lt; 60 mm HG măsurată prin ASTRUP arterial.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Durata prescripţiei este de maximum 90/91/92 de zile (cu reevaluare la sfârşitul perioadei)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Medici curanţi care fac recomandarea: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pneumologie, pneumologie pediatrică,</w:t>
      </w:r>
      <w:r>
        <w:rPr>
          <w:rFonts w:cs="Times New Roman" w:ascii="Times New Roman" w:hAnsi="Times New Roman"/>
          <w:b/>
          <w:sz w:val="24"/>
          <w:szCs w:val="24"/>
        </w:rPr>
        <w:t xml:space="preserve"> </w:t>
      </w:r>
      <w:r>
        <w:rPr>
          <w:rFonts w:cs="Times New Roman" w:ascii="Times New Roman" w:hAnsi="Times New Roman"/>
          <w:sz w:val="24"/>
          <w:szCs w:val="24"/>
        </w:rPr>
        <w:t>boli infecţioase, medicină internă care sunt în contract cu casele de asigurări de sănătate pentru furnizarea de servicii medicale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Aparatele de ventilaţie noninvazivă se acordă pentru următoarele afecţiuni: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boală toracică restrictivă (scolioza gravă, pectus excavatum - stern înfundat, pectus carinatum - torace în carenă, boala Bechterew, deformarea postoperatorie sau posttraumatică, boala pleurală restrictivă)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boală neuromusculară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fibroza chistică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Pentru boala toracică restrictivă şi boala neuromusculară, alături de simptomele de insuficienţă respiratorie şi alterarea calităţii vieţii, trebuie îndeplinit cel puţin unul dintre criteriile de mai jos: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cronică diurnă cu PaCO2 &gt;/= 45 mm Hg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nocturnă cu PaCO2 &gt;/= 50 mm Hg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demonstrată prin analiza gazelor sanguine imediat după momentul trezirii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normocapnie diurnă cu creşterea nivelului PTCO2 cu &gt;/= 10 mm Hg pe timp de noapte, comparativ cu valoarea diurnă, demonstrată prin capnometrie transcutanată sau respiratorie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Pentru fibroza chistică, alături de simptomele de insuficienţă respiratorie şi alterarea calităţii vieţii, la pacient trebuie îndeplinit cel puţin unul dintre criteriile de mai jos: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cronică diurnă cu PaCO2 &gt;/= 60 mm Hg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nocturnă cu PaCO2 &gt;/= 65 mm Hg demonstrată prin analiza gazelor sanguine imediat după momentul trezirii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cronică diurnă cu PaCO2 &gt;/= 60 mm Hg şi creşterea nocturnă a nivelului PTCO2 cu &gt;/= 10 mm Hg pe timp de noapte, comparativ cu valoarea de la culcare, demonstrată prin capnometrie transcutanată sau respiratorie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hipercapnie cronică diurnă cu PaCO2 &gt;/= 55 - 60 mm Hg şi cel puţin 2 exacerbări acute cu acidoză respiratorie care au necesitat spitalizare în ultimele 12 luni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ca urmare directă a unei exacerbări acute care necesită ventilaţie invazivă sau neinvazivă, dacă valoarea PaCO2 &gt; 55 mm Hg persistă chiar şi după stabilizarea stării.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Medici curanţi care fac recomandarea: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pneumologie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medici de specialitate anestezie şi terapie intensivă care sunt în contract cu casele de asigurări de sănătate pentru furnizarea de servicii medicale.</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10. Dispozitive pentru terapia cu aerosoli</w:t>
      </w:r>
    </w:p>
    <w:p>
      <w:pPr>
        <w:pStyle w:val="Normal"/>
        <w:spacing w:lineRule="auto" w:line="240" w:before="0" w:after="0"/>
        <w:rPr>
          <w:rFonts w:ascii="Courier New" w:hAnsi="Courier New" w:cs="Courier New"/>
        </w:rPr>
      </w:pPr>
      <w:r>
        <w:rPr>
          <w:rFonts w:cs="Courier New" w:ascii="Courier New" w:hAnsi="Courier New"/>
        </w:rPr>
        <w:t xml:space="preserve"> </w:t>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4254"/>
        <w:gridCol w:w="3259"/>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425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32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425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32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425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Inhalator salin particule uscate de sare cu flux automat de aer*) </w:t>
            </w:r>
          </w:p>
        </w:tc>
        <w:tc>
          <w:tcPr>
            <w:tcW w:w="32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 luni</w:t>
            </w:r>
          </w:p>
        </w:tc>
      </w:tr>
      <w:tr>
        <w:trPr/>
        <w:tc>
          <w:tcPr>
            <w:tcW w:w="816" w:type="dxa"/>
            <w:tcBorders/>
          </w:tcPr>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425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Nebulizator**)</w:t>
            </w:r>
          </w:p>
        </w:tc>
        <w:tc>
          <w:tcPr>
            <w:tcW w:w="32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Nebulizator cu compresor**)</w:t>
            </w:r>
          </w:p>
        </w:tc>
        <w:tc>
          <w:tcPr>
            <w:tcW w:w="155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ani</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acordă copiilor cu vârsta până la 5 ani cu bronşită astmatiformă/bronşiolită, la recomandarea medicului de specialitate pneumologie pediatrică şi pediatrie. Dispozitivul include şi sistemul de eliberare automată.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 acordă copiilor cu mucoviscidoză cu vârsta până la 18 ani, la recomandarea medicului de specialitate pneumologie, pneumologie pediatrică şi pediatrie;</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11. Dispozitive de mers</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2836"/>
        <w:gridCol w:w="4677"/>
        <w:gridCol w:w="1559"/>
      </w:tblGrid>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NR. CRT.</w:t>
            </w:r>
          </w:p>
        </w:tc>
        <w:tc>
          <w:tcPr>
            <w:tcW w:w="28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DENUMIREA DISPOZITIVULUI MEDICAL</w:t>
            </w:r>
          </w:p>
        </w:tc>
        <w:tc>
          <w:tcPr>
            <w:tcW w:w="467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TIPUL</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28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467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Normal"/>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1.</w:t>
            </w:r>
          </w:p>
        </w:tc>
        <w:tc>
          <w:tcPr>
            <w:tcW w:w="28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Baston</w:t>
            </w:r>
          </w:p>
        </w:tc>
        <w:tc>
          <w:tcPr>
            <w:tcW w:w="4677"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3 ani  </w:t>
            </w:r>
          </w:p>
        </w:tc>
      </w:tr>
      <w:tr>
        <w:trPr>
          <w:trHeight w:val="263" w:hRule="atLeast"/>
        </w:trPr>
        <w:tc>
          <w:tcPr>
            <w:tcW w:w="816" w:type="dxa"/>
            <w:tcBorders/>
          </w:tcPr>
          <w:p>
            <w:pPr>
              <w:pStyle w:val="Normal"/>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2.</w:t>
            </w:r>
          </w:p>
        </w:tc>
        <w:tc>
          <w:tcPr>
            <w:tcW w:w="28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Baston </w:t>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cu trei/patru picioare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3 ani      </w:t>
            </w:r>
          </w:p>
        </w:tc>
      </w:tr>
      <w:tr>
        <w:trPr/>
        <w:tc>
          <w:tcPr>
            <w:tcW w:w="816" w:type="dxa"/>
            <w:vMerge w:val="restart"/>
            <w:tcBorders/>
          </w:tcPr>
          <w:p>
            <w:pPr>
              <w:pStyle w:val="Normal"/>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3.</w:t>
            </w:r>
          </w:p>
        </w:tc>
        <w:tc>
          <w:tcPr>
            <w:tcW w:w="28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Cârjă </w:t>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cu sprijin subaxilar din lemn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 an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 cu sprijin subaxilar metalică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3 ani      </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 cu sprijin pe antebraţ metalică    </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3 ani      </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83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Cadru de mers </w:t>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ani</w:t>
            </w:r>
          </w:p>
        </w:tc>
      </w:tr>
      <w:tr>
        <w:trPr/>
        <w:tc>
          <w:tcPr>
            <w:tcW w:w="816" w:type="dxa"/>
            <w:vMerge w:val="restart"/>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5. </w:t>
            </w:r>
          </w:p>
        </w:tc>
        <w:tc>
          <w:tcPr>
            <w:tcW w:w="2836" w:type="dxa"/>
            <w:vMerge w:val="restart"/>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Fotoliu rulant</w:t>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perioadă nedeterminată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cu antrenare manuală/electrică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ani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triciclu pentru copii</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ani</w:t>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perioadă determinată*)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trike/>
                <w:sz w:val="24"/>
                <w:szCs w:val="24"/>
              </w:rPr>
            </w:pPr>
            <w:r>
              <w:rPr>
                <w:rFonts w:cs="Times New Roman" w:ascii="Times New Roman" w:hAnsi="Times New Roman"/>
                <w:sz w:val="24"/>
                <w:szCs w:val="24"/>
              </w:rPr>
              <w:t>a) cu antrenare manuală/electrică</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81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6" w:type="dxa"/>
            <w:vMerge w:val="continue"/>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 triciclu pentru copii</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se acordă prin închiriere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Pentru un asigurat se pot acorda două dispozitive medicale de acelaşi tip (stânga-dreapta) din cele prevăzute la pct. 1, 2 şi 3; termenul de înlocuire pentru fiecare dispozitiv din cele două (stânga-dreapta) este cel prevăzut în col. C4.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12. Proteză externă de sân</w:t>
      </w:r>
    </w:p>
    <w:p>
      <w:pPr>
        <w:pStyle w:val="Normal"/>
        <w:spacing w:lineRule="auto" w:line="240" w:before="0" w:after="0"/>
        <w:rPr>
          <w:rFonts w:ascii="Courier New" w:hAnsi="Courier New" w:cs="Courier New"/>
          <w:sz w:val="24"/>
          <w:szCs w:val="24"/>
        </w:rPr>
      </w:pPr>
      <w:r>
        <w:rPr>
          <w:rFonts w:cs="Courier New" w:ascii="Courier New" w:hAnsi="Courier New"/>
          <w:sz w:val="24"/>
          <w:szCs w:val="24"/>
        </w:rPr>
        <w:t xml:space="preserve"> </w:t>
      </w:r>
    </w:p>
    <w:tbl>
      <w:tblPr>
        <w:tblStyle w:val="GrilTabel"/>
        <w:tblW w:w="9889" w:type="dxa"/>
        <w:jc w:val="left"/>
        <w:tblInd w:w="0" w:type="dxa"/>
        <w:tblCellMar>
          <w:top w:w="0" w:type="dxa"/>
          <w:left w:w="108" w:type="dxa"/>
          <w:bottom w:w="0" w:type="dxa"/>
          <w:right w:w="108" w:type="dxa"/>
        </w:tblCellMar>
        <w:tblLook w:firstRow="1" w:noVBand="1" w:lastRow="0" w:firstColumn="1" w:lastColumn="0" w:noHBand="0" w:val="04a0"/>
      </w:tblPr>
      <w:tblGrid>
        <w:gridCol w:w="816"/>
        <w:gridCol w:w="4678"/>
        <w:gridCol w:w="2835"/>
        <w:gridCol w:w="1559"/>
      </w:tblGrid>
      <w:tr>
        <w:trPr/>
        <w:tc>
          <w:tcPr>
            <w:tcW w:w="816"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NR. CRT.</w:t>
            </w:r>
          </w:p>
        </w:tc>
        <w:tc>
          <w:tcPr>
            <w:tcW w:w="4678"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DENUMIREA DISPOZITIVULUI MEDICAL</w:t>
            </w:r>
          </w:p>
        </w:tc>
        <w:tc>
          <w:tcPr>
            <w:tcW w:w="2835"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TIPUL</w:t>
            </w:r>
          </w:p>
        </w:tc>
        <w:tc>
          <w:tcPr>
            <w:tcW w:w="1559"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TERMEN DE ÎNLOCUIRE</w:t>
            </w:r>
          </w:p>
        </w:tc>
      </w:tr>
      <w:tr>
        <w:trPr/>
        <w:tc>
          <w:tcPr>
            <w:tcW w:w="81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C1</w:t>
            </w:r>
          </w:p>
        </w:tc>
        <w:tc>
          <w:tcPr>
            <w:tcW w:w="4678"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C2</w:t>
            </w:r>
          </w:p>
        </w:tc>
        <w:tc>
          <w:tcPr>
            <w:tcW w:w="28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C3</w:t>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C4</w:t>
            </w:r>
          </w:p>
        </w:tc>
      </w:tr>
      <w:tr>
        <w:trPr/>
        <w:tc>
          <w:tcPr>
            <w:tcW w:w="816" w:type="dxa"/>
            <w:tcBorders/>
          </w:tcPr>
          <w:p>
            <w:pPr>
              <w:pStyle w:val="ListParagraph"/>
              <w:numPr>
                <w:ilvl w:val="0"/>
                <w:numId w:val="3"/>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67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Proteză externă de sân şi accesorii (sutien)</w:t>
            </w:r>
          </w:p>
        </w:tc>
        <w:tc>
          <w:tcPr>
            <w:tcW w:w="2835"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ani</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NOTĂ: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Medici curanţi care fac recomandarea medicilor de specialitate: chirurgie generală, chirurgie plastică, estetică şi microchirurgie reconstructivă şi oncologie medicală.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B. Pachetul de servicii pentru pacienţii din statele membre ale Uniunii Europene/Spaţiului economic european/Confederaţia Elveţiană/Regatului Unit al Marii Britanii şi Irlandei de Nord,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Pentru pacienţii din statele membre ale Uniunii Europene/din Spaţiul Economic European/Confederaţia Elveţiană</w:t>
      </w:r>
      <w:r>
        <w:rPr>
          <w:rFonts w:cs="Times New Roman" w:ascii="Times New Roman" w:hAnsi="Times New Roman"/>
          <w:bCs/>
          <w:sz w:val="24"/>
          <w:szCs w:val="24"/>
        </w:rPr>
        <w:t>/Regatului Unit al Marii Britanii şi Irlandei de Nord</w:t>
      </w:r>
      <w:r>
        <w:rPr>
          <w:rFonts w:cs="Times New Roman" w:ascii="Times New Roman" w:hAnsi="Times New Roman"/>
          <w:sz w:val="24"/>
          <w:szCs w:val="24"/>
        </w:rPr>
        <w:t>, beneficiari ai formularelor/documentelor europene emise în baza Regulamentului (CE) nr. 883/2004 al Parlamentului European şi al Consiliului se acordă dispozitive medicale,</w:t>
      </w:r>
      <w:r>
        <w:rPr>
          <w:rFonts w:cs="Times New Roman" w:ascii="Times New Roman" w:hAnsi="Times New Roman"/>
          <w:bCs/>
          <w:color w:val="FF0000"/>
          <w:sz w:val="24"/>
          <w:szCs w:val="24"/>
        </w:rPr>
        <w:t xml:space="preserve"> </w:t>
      </w:r>
      <w:r>
        <w:rPr>
          <w:rFonts w:cs="Times New Roman" w:ascii="Times New Roman" w:hAnsi="Times New Roman"/>
          <w:bCs/>
          <w:sz w:val="24"/>
          <w:szCs w:val="24"/>
        </w:rPr>
        <w:t>tehnologii şi dispozitive asistive</w:t>
      </w:r>
      <w:r>
        <w:rPr>
          <w:rFonts w:cs="Times New Roman" w:ascii="Times New Roman" w:hAnsi="Times New Roman"/>
          <w:b/>
          <w:bCs/>
          <w:sz w:val="24"/>
          <w:szCs w:val="24"/>
        </w:rPr>
        <w:t xml:space="preserve">  </w:t>
      </w:r>
      <w:r>
        <w:rPr>
          <w:rFonts w:cs="Times New Roman" w:ascii="Times New Roman" w:hAnsi="Times New Roman"/>
          <w:sz w:val="24"/>
          <w:szCs w:val="24"/>
        </w:rPr>
        <w:t xml:space="preserve">în aceleaşi condiţii ca şi persoanelor asigurate în cadrul sistemului de asigurări sociale de sănătate din România, respectiv dispozitivele, </w:t>
      </w:r>
      <w:r>
        <w:rPr>
          <w:rFonts w:cs="Times New Roman" w:ascii="Times New Roman" w:hAnsi="Times New Roman"/>
          <w:bCs/>
          <w:sz w:val="24"/>
          <w:szCs w:val="24"/>
        </w:rPr>
        <w:t>tehnologiile şi dispozitivele asistive</w:t>
      </w:r>
      <w:r>
        <w:rPr>
          <w:rFonts w:cs="Times New Roman" w:ascii="Times New Roman" w:hAnsi="Times New Roman"/>
          <w:b/>
          <w:bCs/>
          <w:sz w:val="24"/>
          <w:szCs w:val="24"/>
        </w:rPr>
        <w:t xml:space="preserve">  </w:t>
      </w:r>
      <w:r>
        <w:rPr>
          <w:rFonts w:cs="Times New Roman" w:ascii="Times New Roman" w:hAnsi="Times New Roman"/>
          <w:sz w:val="24"/>
          <w:szCs w:val="24"/>
        </w:rPr>
        <w:t>prevăzute la lit. A din prezenta anexă.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Pentru pacienţii din statele cu care România a încheiat acorduri, înţelegeri, convenţii sau protocoale internaţionale cu prevederi în domeniul sănătăţii, se acordă dispozitive medicale</w:t>
      </w:r>
      <w:r>
        <w:rPr>
          <w:rFonts w:cs="Times New Roman" w:ascii="Times New Roman" w:hAnsi="Times New Roman"/>
          <w:bCs/>
          <w:sz w:val="24"/>
          <w:szCs w:val="24"/>
        </w:rPr>
        <w:t xml:space="preserve"> tehnologii şi dispozitive asistive</w:t>
      </w:r>
      <w:r>
        <w:rPr>
          <w:rFonts w:cs="Times New Roman" w:ascii="Times New Roman" w:hAnsi="Times New Roman"/>
          <w:b/>
          <w:bCs/>
          <w:sz w:val="24"/>
          <w:szCs w:val="24"/>
        </w:rPr>
        <w:t xml:space="preserve">  </w:t>
      </w:r>
      <w:r>
        <w:rPr>
          <w:rFonts w:cs="Times New Roman" w:ascii="Times New Roman" w:hAnsi="Times New Roman"/>
          <w:sz w:val="24"/>
          <w:szCs w:val="24"/>
        </w:rPr>
        <w:t xml:space="preserve">în aceleaşi condiţii ca şi persoanelor asigurate în cadrul sistemului de asigurări sociale de sănătate din România, respectiv dispozitivele medicale, </w:t>
      </w:r>
      <w:r>
        <w:rPr>
          <w:rFonts w:cs="Times New Roman" w:ascii="Times New Roman" w:hAnsi="Times New Roman"/>
          <w:bCs/>
          <w:sz w:val="24"/>
          <w:szCs w:val="24"/>
        </w:rPr>
        <w:t>tehnologiile şi dispozitivele asistive</w:t>
      </w:r>
      <w:r>
        <w:rPr>
          <w:rFonts w:cs="Times New Roman" w:ascii="Times New Roman" w:hAnsi="Times New Roman"/>
          <w:sz w:val="24"/>
          <w:szCs w:val="24"/>
        </w:rPr>
        <w:t xml:space="preserve"> prevăzute la lit. A din prezenta anexă, în condiţiile prevăzute de respectivele documente internaţionale.</w:t>
      </w:r>
    </w:p>
    <w:p>
      <w:pPr>
        <w:pStyle w:val="Normal"/>
        <w:spacing w:before="0" w:after="200"/>
        <w:jc w:val="both"/>
        <w:rPr/>
      </w:pPr>
      <w:r>
        <w:rPr/>
      </w:r>
    </w:p>
    <w:sectPr>
      <w:footerReference w:type="default" r:id="rId2"/>
      <w:type w:val="nextPage"/>
      <w:pgSz w:w="11906" w:h="16838"/>
      <w:pgMar w:left="1134" w:right="1134" w:header="0" w:top="1134" w:footer="709" w:bottom="1134" w:gutter="0"/>
      <w:pgNumType w:start="44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2755552"/>
    </w:sdtPr>
    <w:sdtContent>
      <w:p>
        <w:pPr>
          <w:pStyle w:val="Footer"/>
          <w:jc w:val="right"/>
          <w:rPr/>
        </w:pPr>
        <w:r>
          <w:rPr/>
          <w:fldChar w:fldCharType="begin"/>
        </w:r>
        <w:r>
          <w:rPr/>
          <w:instrText> PAGE </w:instrText>
        </w:r>
        <w:r>
          <w:rPr/>
          <w:fldChar w:fldCharType="separate"/>
        </w:r>
        <w:r>
          <w:rPr/>
          <w:t>454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068" w:hanging="360"/>
      </w:pPr>
      <w:rPr>
        <w:rFonts w:ascii="Times New Roman" w:hAnsi="Times New Roman" w:cs="Times New Roman" w:hint="default"/>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3a9e"/>
    <w:pPr>
      <w:widowControl/>
      <w:bidi w:val="0"/>
      <w:spacing w:lineRule="auto" w:line="276" w:before="0" w:after="200"/>
      <w:jc w:val="left"/>
    </w:pPr>
    <w:rPr>
      <w:rFonts w:ascii="Calibri" w:hAnsi="Calibri" w:cs="" w:asciiTheme="minorHAnsi" w:cstheme="minorBidi" w:hAnsiTheme="minorHAnsi" w:eastAsia="Calibri"/>
      <w:color w:val="auto"/>
      <w:kern w:val="0"/>
      <w:sz w:val="22"/>
      <w:szCs w:val="22"/>
      <w:lang w:val="ro-RO" w:eastAsia="en-US" w:bidi="ar-SA"/>
    </w:rPr>
  </w:style>
  <w:style w:type="paragraph" w:styleId="Heading1">
    <w:name w:val="Heading 1"/>
    <w:basedOn w:val="Normal"/>
    <w:next w:val="Normal"/>
    <w:link w:val="Titlu1Caracter"/>
    <w:qFormat/>
    <w:rsid w:val="00bc2632"/>
    <w:pPr>
      <w:keepNext w:val="true"/>
      <w:spacing w:lineRule="auto" w:line="240" w:before="0" w:after="0"/>
      <w:outlineLvl w:val="0"/>
    </w:pPr>
    <w:rPr>
      <w:rFonts w:ascii="Times New Roman" w:hAnsi="Times New Roman" w:eastAsia="Times New Roman" w:cs="Times New Roman"/>
      <w:caps/>
      <w:sz w:val="32"/>
      <w:szCs w:val="20"/>
    </w:rPr>
  </w:style>
  <w:style w:type="paragraph" w:styleId="Heading2">
    <w:name w:val="Heading 2"/>
    <w:basedOn w:val="Normal"/>
    <w:next w:val="Normal"/>
    <w:link w:val="Titlu2Caracter"/>
    <w:qFormat/>
    <w:rsid w:val="00bc2632"/>
    <w:pPr>
      <w:keepNext w:val="true"/>
      <w:spacing w:lineRule="auto" w:line="240" w:before="0" w:after="0"/>
      <w:outlineLvl w:val="1"/>
    </w:pPr>
    <w:rPr>
      <w:rFonts w:ascii="Times New Roman" w:hAnsi="Times New Roman" w:eastAsia="Times New Roman" w:cs="Times New Roman"/>
      <w:sz w:val="24"/>
      <w:szCs w:val="20"/>
    </w:rPr>
  </w:style>
  <w:style w:type="paragraph" w:styleId="Heading3">
    <w:name w:val="Heading 3"/>
    <w:basedOn w:val="Normal"/>
    <w:next w:val="Normal"/>
    <w:link w:val="Titlu3Caracter"/>
    <w:semiHidden/>
    <w:unhideWhenUsed/>
    <w:qFormat/>
    <w:rsid w:val="00bc2632"/>
    <w:pPr>
      <w:keepNext w:val="true"/>
      <w:spacing w:lineRule="auto" w:line="240" w:before="240" w:after="60"/>
      <w:outlineLvl w:val="2"/>
    </w:pPr>
    <w:rPr>
      <w:rFonts w:ascii="Cambria" w:hAnsi="Cambria" w:eastAsia="" w:cs="" w:asciiTheme="majorHAnsi" w:cstheme="majorBidi" w:eastAsiaTheme="majorEastAsia" w:hAnsiTheme="majorHAnsi"/>
      <w:b/>
      <w:bCs/>
      <w:sz w:val="26"/>
      <w:szCs w:val="26"/>
    </w:rPr>
  </w:style>
  <w:style w:type="paragraph" w:styleId="Heading5">
    <w:name w:val="Heading 5"/>
    <w:basedOn w:val="Normal"/>
    <w:next w:val="Normal"/>
    <w:link w:val="Titlu5Caracter"/>
    <w:qFormat/>
    <w:rsid w:val="00bc2632"/>
    <w:pPr>
      <w:keepNext w:val="true"/>
      <w:spacing w:lineRule="auto" w:line="240" w:before="0" w:after="0"/>
      <w:outlineLvl w:val="4"/>
    </w:pPr>
    <w:rPr>
      <w:rFonts w:ascii="Arial" w:hAnsi="Arial" w:eastAsia="Times New Roman" w:cs="Times New Roman"/>
      <w:b/>
      <w:caps/>
      <w:sz w:val="24"/>
      <w:szCs w:val="20"/>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qFormat/>
    <w:rsid w:val="00bc2632"/>
    <w:rPr>
      <w:caps/>
      <w:sz w:val="32"/>
    </w:rPr>
  </w:style>
  <w:style w:type="character" w:styleId="Titlu2Caracter" w:customStyle="1">
    <w:name w:val="Titlu 2 Caracter"/>
    <w:basedOn w:val="DefaultParagraphFont"/>
    <w:link w:val="Titlu2"/>
    <w:qFormat/>
    <w:rsid w:val="00bc2632"/>
    <w:rPr>
      <w:sz w:val="24"/>
    </w:rPr>
  </w:style>
  <w:style w:type="character" w:styleId="Titlu3Caracter" w:customStyle="1">
    <w:name w:val="Titlu 3 Caracter"/>
    <w:basedOn w:val="DefaultParagraphFont"/>
    <w:link w:val="Titlu3"/>
    <w:semiHidden/>
    <w:qFormat/>
    <w:rsid w:val="00bc2632"/>
    <w:rPr>
      <w:rFonts w:ascii="Cambria" w:hAnsi="Cambria" w:eastAsia="" w:cs="" w:asciiTheme="majorHAnsi" w:cstheme="majorBidi" w:eastAsiaTheme="majorEastAsia" w:hAnsiTheme="majorHAnsi"/>
      <w:b/>
      <w:bCs/>
      <w:sz w:val="26"/>
      <w:szCs w:val="26"/>
    </w:rPr>
  </w:style>
  <w:style w:type="character" w:styleId="Titlu5Caracter" w:customStyle="1">
    <w:name w:val="Titlu 5 Caracter"/>
    <w:basedOn w:val="DefaultParagraphFont"/>
    <w:link w:val="Titlu5"/>
    <w:qFormat/>
    <w:rsid w:val="00bc2632"/>
    <w:rPr>
      <w:rFonts w:ascii="Arial" w:hAnsi="Arial"/>
      <w:b/>
      <w:caps/>
      <w:sz w:val="24"/>
    </w:rPr>
  </w:style>
  <w:style w:type="character" w:styleId="AntetCaracter" w:customStyle="1">
    <w:name w:val="Antet Caracter"/>
    <w:basedOn w:val="DefaultParagraphFont"/>
    <w:link w:val="Antet"/>
    <w:uiPriority w:val="99"/>
    <w:qFormat/>
    <w:rsid w:val="007542b6"/>
    <w:rPr>
      <w:rFonts w:ascii="Calibri" w:hAnsi="Calibri" w:cs="" w:asciiTheme="minorHAnsi" w:cstheme="minorBidi" w:hAnsiTheme="minorHAnsi"/>
      <w:sz w:val="22"/>
      <w:szCs w:val="22"/>
    </w:rPr>
  </w:style>
  <w:style w:type="character" w:styleId="SubsolCaracter" w:customStyle="1">
    <w:name w:val="Subsol Caracter"/>
    <w:basedOn w:val="DefaultParagraphFont"/>
    <w:link w:val="Subsol"/>
    <w:uiPriority w:val="99"/>
    <w:qFormat/>
    <w:rsid w:val="007542b6"/>
    <w:rPr>
      <w:rFonts w:ascii="Calibri" w:hAnsi="Calibri" w:cs="" w:asciiTheme="minorHAnsi" w:cstheme="minorBidi" w:hAnsiTheme="minorHAnsi"/>
      <w:sz w:val="22"/>
      <w:szCs w:val="22"/>
    </w:rPr>
  </w:style>
  <w:style w:type="character" w:styleId="TextnBalonCaracter" w:customStyle="1">
    <w:name w:val="Text în Balon Caracter"/>
    <w:basedOn w:val="DefaultParagraphFont"/>
    <w:link w:val="TextnBalon"/>
    <w:uiPriority w:val="99"/>
    <w:semiHidden/>
    <w:qFormat/>
    <w:rsid w:val="00f40f9a"/>
    <w:rPr>
      <w:rFonts w:ascii="Tahoma" w:hAnsi="Tahoma" w:cs="Tahoma"/>
      <w:sz w:val="16"/>
      <w:szCs w:val="16"/>
    </w:rPr>
  </w:style>
  <w:style w:type="character" w:styleId="Emphasis">
    <w:name w:val="Emphasis"/>
    <w:basedOn w:val="DefaultParagraphFont"/>
    <w:qFormat/>
    <w:rsid w:val="00f34377"/>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47f83"/>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AntetCaracter"/>
    <w:uiPriority w:val="99"/>
    <w:unhideWhenUsed/>
    <w:rsid w:val="007542b6"/>
    <w:pPr>
      <w:tabs>
        <w:tab w:val="clear" w:pos="708"/>
        <w:tab w:val="center" w:pos="4536" w:leader="none"/>
        <w:tab w:val="right" w:pos="9072" w:leader="none"/>
      </w:tabs>
      <w:spacing w:lineRule="auto" w:line="240" w:before="0" w:after="0"/>
    </w:pPr>
    <w:rPr/>
  </w:style>
  <w:style w:type="paragraph" w:styleId="Footer">
    <w:name w:val="Footer"/>
    <w:basedOn w:val="Normal"/>
    <w:link w:val="SubsolCaracter"/>
    <w:uiPriority w:val="99"/>
    <w:unhideWhenUsed/>
    <w:rsid w:val="007542b6"/>
    <w:pPr>
      <w:tabs>
        <w:tab w:val="clear" w:pos="708"/>
        <w:tab w:val="center" w:pos="4536" w:leader="none"/>
        <w:tab w:val="right" w:pos="9072" w:leader="none"/>
      </w:tabs>
      <w:spacing w:lineRule="auto" w:line="240" w:before="0" w:after="0"/>
    </w:pPr>
    <w:rPr/>
  </w:style>
  <w:style w:type="paragraph" w:styleId="BalloonText">
    <w:name w:val="Balloon Text"/>
    <w:basedOn w:val="Normal"/>
    <w:link w:val="TextnBalonCaracter"/>
    <w:uiPriority w:val="99"/>
    <w:semiHidden/>
    <w:unhideWhenUsed/>
    <w:qFormat/>
    <w:rsid w:val="00f40f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GrilTabel">
    <w:name w:val="Table Grid"/>
    <w:basedOn w:val="TabelNormal"/>
    <w:uiPriority w:val="59"/>
    <w:rsid w:val="003c5f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Tabel1">
    <w:name w:val="Grilă Tabel1"/>
    <w:basedOn w:val="TabelNormal"/>
    <w:uiPriority w:val="59"/>
    <w:rsid w:val="00102175"/>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8C35-D9FA-4A09-845B-174AA57F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Application>LibreOffice/6.4.1.2$Windows_X86_64 LibreOffice_project/4d224e95b98b138af42a64d84056446d09082932</Application>
  <Pages>24</Pages>
  <Words>4188</Words>
  <Characters>22549</Characters>
  <CharactersWithSpaces>27245</CharactersWithSpaces>
  <Paragraphs>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2020-03-20T12:29:00Z</dcterms:created>
  <dc:creator>Rodica PATRASCU</dc:creator>
  <dc:description/>
  <dc:language>en-US</dc:language>
  <cp:lastModifiedBy>Rodica PATRASCU</cp:lastModifiedBy>
  <cp:lastPrinted>2020-03-11T08:09:00Z</cp:lastPrinted>
  <dcterms:modified xsi:type="dcterms:W3CDTF">2021-06-14T11:57:00Z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